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6" w:name="Xc90244240d45cb52874db108c07c36529287579"/>
    <w:p>
      <w:pPr>
        <w:pStyle w:val="Heading2"/>
      </w:pPr>
      <w:r>
        <w:t xml:space="preserve">Pedido de Revisão da Sentença Interlocutória</w:t>
      </w:r>
    </w:p>
    <w:p>
      <w:pPr>
        <w:pStyle w:val="FirstParagraph"/>
      </w:pPr>
      <w:r>
        <w:rPr>
          <w:b/>
          <w:bCs/>
        </w:rPr>
        <w:t xml:space="preserve">Processo n.º 2023/04567 – Ação Civil e Penal por Abuso de Menores</w:t>
      </w:r>
      <w:r>
        <w:br/>
      </w:r>
      <w:r>
        <w:t xml:space="preserve">Vara de Família e Menores de Lisboa</w:t>
      </w:r>
    </w:p>
    <w:p>
      <w:pPr>
        <w:pStyle w:val="BodyText"/>
      </w:pPr>
      <w:r>
        <w:t xml:space="preserve">Lisboa, 15 de março de 2024</w:t>
      </w:r>
    </w:p>
    <w:p>
      <w:pPr>
        <w:pStyle w:val="BodyText"/>
      </w:pPr>
      <w:r>
        <w:t xml:space="preserve">Ex.mo Sr. Juiz da Vara de Família e Menores de Lisboa,</w:t>
      </w:r>
      <w:r>
        <w:br/>
      </w:r>
      <w:r>
        <w:t xml:space="preserve">Dr. António Ribeiro</w:t>
      </w:r>
    </w:p>
    <w:bookmarkStart w:id="9" w:name="i.-identificação-das-partes"/>
    <w:p>
      <w:pPr>
        <w:pStyle w:val="Heading3"/>
      </w:pPr>
      <w:r>
        <w:t xml:space="preserve">I. Identificação das partes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822"/>
        <w:gridCol w:w="7097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Requerente</w:t>
            </w:r>
          </w:p>
        </w:tc>
        <w:tc>
          <w:tcPr/>
          <w:p>
            <w:pPr>
              <w:pStyle w:val="Compact"/>
            </w:pPr>
            <w:r>
              <w:t xml:space="preserve">João Silva, menor, representado por Maria Silva (NIF 224 567 891), residente em Rua da Liberdade, 45, 1.º Dto., 1150‑058 Lisboa.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Réus</w:t>
            </w:r>
          </w:p>
        </w:tc>
        <w:tc>
          <w:tcPr/>
          <w:p>
            <w:pPr>
              <w:pStyle w:val="Compact"/>
            </w:pPr>
            <w:r>
              <w:t xml:space="preserve">1. Associação Casa da Juventude, Lda., pessoa coletiva número 504 123 456, com sede em Avenida da República, 120, 4.º Esq., 1050‑150 Lisboa.</w:t>
            </w:r>
            <w:r>
              <w:t xml:space="preserve"> </w:t>
            </w:r>
            <w:r>
              <w:t xml:space="preserve">2. Carlos Mendes, cidadão português, NIF 123 456 789, residente em Rua da Boavista, 78, 2.º Esq., 4100‑123 Porto.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Mandatários</w:t>
            </w:r>
          </w:p>
        </w:tc>
        <w:tc>
          <w:tcPr/>
          <w:p>
            <w:pPr>
              <w:pStyle w:val="Compact"/>
            </w:pPr>
            <w:r>
              <w:t xml:space="preserve">Dr. Luís Costa (OAB/Lisboa 12345), escritório em Rua de São Bento, 12, 3.º A, 1200‑123 Lisboa.</w:t>
            </w:r>
            <w:r>
              <w:t xml:space="preserve"> </w:t>
            </w:r>
            <w:r>
              <w:t xml:space="preserve">Dra. Sofia Almeida (OAB/Porto 67890), escritório em Avenida da Boavista, 250, 4.º B, 4100‑123 Porto.</w:t>
            </w:r>
          </w:p>
        </w:tc>
      </w:tr>
    </w:tbl>
    <w:bookmarkEnd w:id="9"/>
    <w:bookmarkStart w:id="10" w:name="ii.-objeto-do-requerimento"/>
    <w:p>
      <w:pPr>
        <w:pStyle w:val="Heading3"/>
      </w:pPr>
      <w:r>
        <w:t xml:space="preserve">II. Objeto do requerimento</w:t>
      </w:r>
    </w:p>
    <w:p>
      <w:pPr>
        <w:pStyle w:val="FirstParagraph"/>
      </w:pPr>
      <w:r>
        <w:t xml:space="preserve">Vem o requerente, por intermédio dos seus mandatários, apresentar</w:t>
      </w:r>
      <w:r>
        <w:t xml:space="preserve"> </w:t>
      </w:r>
      <w:r>
        <w:rPr>
          <w:b/>
          <w:bCs/>
        </w:rPr>
        <w:t xml:space="preserve">Pedido de Revisão da Sentença Interlocutória</w:t>
      </w:r>
      <w:r>
        <w:t xml:space="preserve"> </w:t>
      </w:r>
      <w:r>
        <w:t xml:space="preserve">proferida por este Juízo em 28 de janeiro de 2024, nos autos do processo supracitado, com fundamento nos</w:t>
      </w:r>
      <w:r>
        <w:t xml:space="preserve"> </w:t>
      </w:r>
      <w:r>
        <w:rPr>
          <w:b/>
          <w:bCs/>
        </w:rPr>
        <w:t xml:space="preserve">novos elementos probatórios</w:t>
      </w:r>
      <w:r>
        <w:t xml:space="preserve"> </w:t>
      </w:r>
      <w:r>
        <w:t xml:space="preserve">que emergiram após a data da referida decisão e que, em conformidade com o artigo 562.º do Código de Processo Civil, justificam a revisão da decisão interlocutória para garantir a efetiva tutela dos direitos do menor João Silva.</w:t>
      </w:r>
    </w:p>
    <w:bookmarkEnd w:id="10"/>
    <w:bookmarkStart w:id="11" w:name="iii.-fundamentação-jurídica"/>
    <w:p>
      <w:pPr>
        <w:pStyle w:val="Heading3"/>
      </w:pPr>
      <w:r>
        <w:t xml:space="preserve">III. Fundamentação jurídica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Do direito à revisão da decisão interlocutória</w:t>
      </w:r>
      <w:r>
        <w:br/>
      </w:r>
      <w:r>
        <w:t xml:space="preserve">Nos termos do artigo 562.º, n.º 1, alínea “c”, do Código de Processo Civil, a sentença interlocutória pode ser revista quando, no curso do processo, surgirem</w:t>
      </w:r>
      <w:r>
        <w:t xml:space="preserve"> </w:t>
      </w:r>
      <w:r>
        <w:rPr>
          <w:b/>
          <w:bCs/>
        </w:rPr>
        <w:t xml:space="preserve">novos factos ou provas</w:t>
      </w:r>
      <w:r>
        <w:t xml:space="preserve"> </w:t>
      </w:r>
      <w:r>
        <w:t xml:space="preserve">que, por sua natureza, possam influenciar decisivamente a solução do litígio.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Da necessidade de proteção integral do menor</w:t>
      </w:r>
      <w:r>
        <w:br/>
      </w:r>
      <w:r>
        <w:t xml:space="preserve">O artigo 136.º da Constituição da República Portuguesa e o artigo 5.º da Convenção sobre os Direitos da Criança, incorporada ao ordenamento interno, impõem ao Estado e às instituições privadas a obrigação de proteger a infância contra qualquer forma de violência. A descoberta de novos indícios de abuso e de falhas na vigilância reforça a necessidade de reavaliar a decisão interlocutória que, até ao momento, manteve a</w:t>
      </w:r>
      <w:r>
        <w:t xml:space="preserve"> </w:t>
      </w:r>
      <w:r>
        <w:rPr>
          <w:b/>
          <w:bCs/>
        </w:rPr>
        <w:t xml:space="preserve">medida cautelar de afastamento do réu Carlos Mendes do contacto com menores</w:t>
      </w:r>
      <w:r>
        <w:t xml:space="preserve"> </w:t>
      </w:r>
      <w:r>
        <w:t xml:space="preserve">apenas de forma limitada.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Do princípio da verdade material e da prova pericial</w:t>
      </w:r>
      <w:r>
        <w:br/>
      </w:r>
      <w:r>
        <w:t xml:space="preserve">O Código de Processo Penal, em seu artigo 231.º, prevê a possibilidade de produção de nova prova pericial quando, no decurso da instrução, se verifiquem circunstâncias que a tornem imprescindível. O laudo pericial ora apresentado (ver anexo) demonstra a existência de vestígios de ADN em objetos pertencentes ao menor, correspondentes ao réu Carlos Mendes, o que não constava nos autos à data da sentença interlocutória.</w:t>
      </w:r>
    </w:p>
    <w:bookmarkEnd w:id="11"/>
    <w:bookmarkStart w:id="12" w:name="iv.-novos-elementos-probatórios"/>
    <w:p>
      <w:pPr>
        <w:pStyle w:val="Heading3"/>
      </w:pPr>
      <w:r>
        <w:t xml:space="preserve">IV. Novos elementos probatórios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038"/>
        <w:gridCol w:w="1947"/>
        <w:gridCol w:w="2856"/>
        <w:gridCol w:w="2077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N.º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Descrição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Data de obtenção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Relevância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Laudo pericial de ADN (Laboratório Forense Nacional) – correspondência entre amostras recolhidas nas roupas do menor e o réu Carlos Mendes.</w:t>
            </w:r>
          </w:p>
        </w:tc>
        <w:tc>
          <w:tcPr/>
          <w:p>
            <w:pPr>
              <w:pStyle w:val="Compact"/>
            </w:pPr>
            <w:r>
              <w:t xml:space="preserve">10 de março de 2024</w:t>
            </w:r>
          </w:p>
        </w:tc>
        <w:tc>
          <w:tcPr/>
          <w:p>
            <w:pPr>
              <w:pStyle w:val="Compact"/>
            </w:pPr>
            <w:r>
              <w:t xml:space="preserve">Prova direta de contacto físico ilícito.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Depoimento escrito da ex‑funcionária Ana Ribeiro (ex‑coordenadora de projetos), datado de 12 de março de 2024, que relata a existência de “salas secretas” onde ocorria a prática de atos abusivos.</w:t>
            </w:r>
          </w:p>
        </w:tc>
        <w:tc>
          <w:tcPr/>
          <w:p>
            <w:pPr>
              <w:pStyle w:val="Compact"/>
            </w:pPr>
            <w:r>
              <w:t xml:space="preserve">12 de março de 2024</w:t>
            </w:r>
          </w:p>
        </w:tc>
        <w:tc>
          <w:tcPr/>
          <w:p>
            <w:pPr>
              <w:pStyle w:val="Compact"/>
            </w:pPr>
            <w:r>
              <w:t xml:space="preserve">Revela nova estrutura organizacional de abuso não considerada anteriormente.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Registo fotográfico de documentos internos da associação (acta de reunião de 2018) que evidencia a ausência de protocolos de proteção infantil.</w:t>
            </w:r>
          </w:p>
        </w:tc>
        <w:tc>
          <w:tcPr/>
          <w:p>
            <w:pPr>
              <w:pStyle w:val="Compact"/>
            </w:pPr>
            <w:r>
              <w:t xml:space="preserve">13 de março de 2024</w:t>
            </w:r>
          </w:p>
        </w:tc>
        <w:tc>
          <w:tcPr/>
          <w:p>
            <w:pPr>
              <w:pStyle w:val="Compact"/>
            </w:pPr>
            <w:r>
              <w:t xml:space="preserve">Demonstra falha grave na obrigação de vigilância.</w:t>
            </w:r>
          </w:p>
        </w:tc>
      </w:tr>
    </w:tbl>
    <w:bookmarkEnd w:id="12"/>
    <w:bookmarkStart w:id="13" w:name="v.-pedidos"/>
    <w:p>
      <w:pPr>
        <w:pStyle w:val="Heading3"/>
      </w:pPr>
      <w:r>
        <w:t xml:space="preserve">V. Pedidos</w:t>
      </w:r>
    </w:p>
    <w:p>
      <w:pPr>
        <w:pStyle w:val="FirstParagraph"/>
      </w:pPr>
      <w:r>
        <w:t xml:space="preserve">Face ao exposto, requer-se a V. Exa.: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A admissão</w:t>
      </w:r>
      <w:r>
        <w:t xml:space="preserve"> </w:t>
      </w:r>
      <w:r>
        <w:t xml:space="preserve">dos documentos e provas acima enumerados como</w:t>
      </w:r>
      <w:r>
        <w:t xml:space="preserve"> </w:t>
      </w:r>
      <w:r>
        <w:rPr>
          <w:b/>
          <w:bCs/>
        </w:rPr>
        <w:t xml:space="preserve">novos elementos probatórios</w:t>
      </w:r>
      <w:r>
        <w:t xml:space="preserve"> </w:t>
      </w:r>
      <w:r>
        <w:t xml:space="preserve">nos autos, nos termos do artigo 562.º, n.º 1, alínea “c”, do CPC.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A revisão da sentença interlocutória</w:t>
      </w:r>
      <w:r>
        <w:t xml:space="preserve"> </w:t>
      </w:r>
      <w:r>
        <w:t xml:space="preserve">proferida em 28 de janeiro de 2024, com a</w:t>
      </w:r>
      <w:r>
        <w:t xml:space="preserve"> </w:t>
      </w:r>
      <w:r>
        <w:rPr>
          <w:b/>
          <w:bCs/>
        </w:rPr>
        <w:t xml:space="preserve">prorrogação e reforço</w:t>
      </w:r>
      <w:r>
        <w:t xml:space="preserve"> </w:t>
      </w:r>
      <w:r>
        <w:t xml:space="preserve">das medidas cautelares, nomeadamente:</w:t>
      </w:r>
    </w:p>
    <w:p>
      <w:pPr>
        <w:pStyle w:val="Compact"/>
        <w:numPr>
          <w:ilvl w:val="1"/>
          <w:numId w:val="1003"/>
        </w:numPr>
      </w:pPr>
    </w:p>
    <w:p>
      <w:pPr>
        <w:pStyle w:val="Compact"/>
        <w:numPr>
          <w:ilvl w:val="2"/>
          <w:numId w:val="1004"/>
        </w:numPr>
      </w:pPr>
      <w:r>
        <w:rPr>
          <w:b/>
          <w:bCs/>
        </w:rPr>
        <w:t xml:space="preserve">Afastamento definitivo</w:t>
      </w:r>
      <w:r>
        <w:t xml:space="preserve"> </w:t>
      </w:r>
      <w:r>
        <w:t xml:space="preserve">do réu Carlos Mendes de qualquer contacto com menores, inclusive em ambiente familiar ou profissional;</w:t>
      </w:r>
      <w:r>
        <w:br/>
      </w:r>
    </w:p>
    <w:p>
      <w:pPr>
        <w:pStyle w:val="Compact"/>
        <w:numPr>
          <w:ilvl w:val="1"/>
          <w:numId w:val="1003"/>
        </w:numPr>
      </w:pPr>
    </w:p>
    <w:p>
      <w:pPr>
        <w:pStyle w:val="Compact"/>
        <w:numPr>
          <w:ilvl w:val="2"/>
          <w:numId w:val="1005"/>
        </w:numPr>
      </w:pPr>
      <w:r>
        <w:rPr>
          <w:b/>
          <w:bCs/>
        </w:rPr>
        <w:t xml:space="preserve">Suspensão imediata</w:t>
      </w:r>
      <w:r>
        <w:t xml:space="preserve"> </w:t>
      </w:r>
      <w:r>
        <w:t xml:space="preserve">das atividades da Associação Casa da Juventude, Lda., até à verificação de conformidade com os requisitos legais de proteção de menores;</w:t>
      </w:r>
      <w:r>
        <w:br/>
      </w:r>
    </w:p>
    <w:p>
      <w:pPr>
        <w:pStyle w:val="Compact"/>
        <w:numPr>
          <w:ilvl w:val="1"/>
          <w:numId w:val="1003"/>
        </w:numPr>
      </w:pPr>
    </w:p>
    <w:p>
      <w:pPr>
        <w:pStyle w:val="Compact"/>
        <w:numPr>
          <w:ilvl w:val="2"/>
          <w:numId w:val="1006"/>
        </w:numPr>
      </w:pPr>
      <w:r>
        <w:rPr>
          <w:b/>
          <w:bCs/>
        </w:rPr>
        <w:t xml:space="preserve">Nomeação de um perito assistente</w:t>
      </w:r>
      <w:r>
        <w:t xml:space="preserve"> </w:t>
      </w:r>
      <w:r>
        <w:t xml:space="preserve">para acompanhamento da implementação das medidas de proteção.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A designação de audiência</w:t>
      </w:r>
      <w:r>
        <w:t xml:space="preserve"> </w:t>
      </w:r>
      <w:r>
        <w:t xml:space="preserve">para produção de prova oral, com a oitiva da testemunha Ana Ribeiro e a eventual realização de nova perícia psicológica ao menor João Silva.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A condenação dos réus</w:t>
      </w:r>
      <w:r>
        <w:t xml:space="preserve"> </w:t>
      </w:r>
      <w:r>
        <w:t xml:space="preserve">ao pagamento de</w:t>
      </w:r>
      <w:r>
        <w:t xml:space="preserve"> </w:t>
      </w:r>
      <w:r>
        <w:rPr>
          <w:b/>
          <w:bCs/>
        </w:rPr>
        <w:t xml:space="preserve">indemnização por danos morais e patrimoniais</w:t>
      </w:r>
      <w:r>
        <w:t xml:space="preserve"> </w:t>
      </w:r>
      <w:r>
        <w:t xml:space="preserve">ao menor, a quantia a ser fixada em fase de julgamento de mérito, nos termos do artigo 483.º do Código Civil.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A comunicação imediata</w:t>
      </w:r>
      <w:r>
        <w:t xml:space="preserve"> </w:t>
      </w:r>
      <w:r>
        <w:t xml:space="preserve">ao Ministério Público, para que proceda à abertura de inquérito criminal complementado, nos termos do artigo 12.º do Código de Processo Penal.</w:t>
      </w:r>
    </w:p>
    <w:bookmarkEnd w:id="13"/>
    <w:bookmarkStart w:id="14" w:name="vi.-protesta-por-provas"/>
    <w:p>
      <w:pPr>
        <w:pStyle w:val="Heading3"/>
      </w:pPr>
      <w:r>
        <w:t xml:space="preserve">VI. Protesta por Provas</w:t>
      </w:r>
    </w:p>
    <w:p>
      <w:pPr>
        <w:pStyle w:val="FirstParagraph"/>
      </w:pPr>
      <w:r>
        <w:t xml:space="preserve">O requerente protesta, desde já, por</w:t>
      </w:r>
      <w:r>
        <w:t xml:space="preserve"> </w:t>
      </w:r>
      <w:r>
        <w:rPr>
          <w:b/>
          <w:bCs/>
        </w:rPr>
        <w:t xml:space="preserve">todos os meios de prova admitidos em direito</w:t>
      </w:r>
      <w:r>
        <w:t xml:space="preserve">, nomeadamente a prova testemunhal, pericial, documental e oitiva de peritos, requerendo, ainda, a prática de diligências de urgência para garantir a preservação da prova e a segurança do menor.</w:t>
      </w:r>
    </w:p>
    <w:bookmarkEnd w:id="14"/>
    <w:bookmarkStart w:id="15" w:name="vii.-conclusão"/>
    <w:p>
      <w:pPr>
        <w:pStyle w:val="Heading3"/>
      </w:pPr>
      <w:r>
        <w:t xml:space="preserve">VII. Conclusão</w:t>
      </w:r>
    </w:p>
    <w:p>
      <w:pPr>
        <w:pStyle w:val="FirstParagraph"/>
      </w:pPr>
      <w:r>
        <w:t xml:space="preserve">A presente solicitação funda‑se na</w:t>
      </w:r>
      <w:r>
        <w:t xml:space="preserve"> </w:t>
      </w:r>
      <w:r>
        <w:rPr>
          <w:b/>
          <w:bCs/>
        </w:rPr>
        <w:t xml:space="preserve">necessidade imperiosa de salvaguardar os direitos e a integridade física e psicológica do menor João Silva</w:t>
      </w:r>
      <w:r>
        <w:t xml:space="preserve">, bem como de assegurar que a justiça seja feita de forma plena e eficaz. A não revisão da sentença interlocutória, à luz dos novos elementos ora apresentados, configuraria violação dos princípios da proteção integral da infância e da verdade material.</w:t>
      </w:r>
    </w:p>
    <w:p>
      <w:pPr>
        <w:pStyle w:val="BodyText"/>
      </w:pPr>
      <w:r>
        <w:t xml:space="preserve">Nestes termos,</w:t>
      </w:r>
      <w:r>
        <w:t xml:space="preserve"> </w:t>
      </w:r>
      <w:r>
        <w:rPr>
          <w:b/>
          <w:bCs/>
        </w:rPr>
        <w:t xml:space="preserve">pede deferimento</w:t>
      </w:r>
      <w:r>
        <w:t xml:space="preserve">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Lisboa, 15 de março de 2024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79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Dr. Luís Costa</w:t>
            </w:r>
            <w:r>
              <w:t xml:space="preserve"> </w:t>
            </w:r>
            <w:r>
              <w:t xml:space="preserve"> </w:t>
            </w:r>
            <w:r>
              <w:t xml:space="preserve">OAB/Lisboa 12345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Dra. Sofia Almeida</w:t>
            </w:r>
            <w:r>
              <w:t xml:space="preserve"> </w:t>
            </w:r>
            <w:r>
              <w:t xml:space="preserve"> </w:t>
            </w:r>
            <w:r>
              <w:t xml:space="preserve">OAB/Porto 67890</w:t>
            </w:r>
          </w:p>
        </w:tc>
      </w:tr>
    </w:tbl>
    <w:p>
      <w:pPr>
        <w:pStyle w:val="BodyText"/>
      </w:pPr>
      <w:r>
        <w:rPr>
          <w:i/>
          <w:iCs/>
        </w:rPr>
        <w:t xml:space="preserve">Mandatários do Requerente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Anexos</w:t>
      </w:r>
    </w:p>
    <w:p>
      <w:pPr>
        <w:pStyle w:val="Compact"/>
        <w:numPr>
          <w:ilvl w:val="0"/>
          <w:numId w:val="1007"/>
        </w:numPr>
      </w:pPr>
      <w:r>
        <w:t xml:space="preserve">Laudo pericial de ADN – Laboratório Forense Nacional (páginas 1‑8).</w:t>
      </w:r>
      <w:r>
        <w:br/>
      </w:r>
    </w:p>
    <w:p>
      <w:pPr>
        <w:pStyle w:val="Compact"/>
        <w:numPr>
          <w:ilvl w:val="0"/>
          <w:numId w:val="1007"/>
        </w:numPr>
      </w:pPr>
      <w:r>
        <w:t xml:space="preserve">Depoimento escrito de Ana Ribeiro (páginas 9‑12).</w:t>
      </w:r>
      <w:r>
        <w:br/>
      </w:r>
    </w:p>
    <w:p>
      <w:pPr>
        <w:pStyle w:val="Compact"/>
        <w:numPr>
          <w:ilvl w:val="0"/>
          <w:numId w:val="1007"/>
        </w:numPr>
      </w:pPr>
      <w:r>
        <w:t xml:space="preserve">Fotografias dos documentos internos da Associação Casa da Juventude, Lda. (páginas 13‑15).</w:t>
      </w:r>
    </w:p>
    <w:bookmarkEnd w:id="15"/>
    <w:bookmarkEnd w:id="16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721">
    <w:nsid w:val="00A99721"/>
    <w:multiLevelType w:val="multilevel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Letter"/>
      <w:lvlText w:val="%6)"/>
      <w:lvlJc w:val="left"/>
      <w:pPr>
        <w:ind w:left="4320" w:hanging="360"/>
      </w:p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lowerLetter"/>
      <w:lvlText w:val="%8)"/>
      <w:lvlJc w:val="left"/>
      <w:pPr>
        <w:ind w:left="5760" w:hanging="360"/>
      </w:pPr>
    </w:lvl>
    <w:lvl w:ilvl="8">
      <w:start w:val="1"/>
      <w:numFmt w:val="lowerLetter"/>
      <w:lvlText w:val="%9)"/>
      <w:lvlJc w:val="left"/>
      <w:pPr>
        <w:ind w:left="6480" w:hanging="360"/>
      </w:pPr>
    </w:lvl>
  </w:abstractNum>
  <w:abstractNum w:abstractNumId="99722">
    <w:nsid w:val="00A99722"/>
    <w:multiLevelType w:val="multilevel"/>
    <w:lvl w:ilvl="0">
      <w:start w:val="2"/>
      <w:numFmt w:val="lowerLetter"/>
      <w:lvlText w:val="%1)"/>
      <w:lvlJc w:val="left"/>
      <w:pPr>
        <w:ind w:left="720" w:hanging="360"/>
      </w:pPr>
    </w:lvl>
    <w:lvl w:ilvl="1">
      <w:start w:val="2"/>
      <w:numFmt w:val="lowerLetter"/>
      <w:lvlText w:val="%2)"/>
      <w:lvlJc w:val="left"/>
      <w:pPr>
        <w:ind w:left="1440" w:hanging="360"/>
      </w:pPr>
    </w:lvl>
    <w:lvl w:ilvl="2">
      <w:start w:val="2"/>
      <w:numFmt w:val="lowerLetter"/>
      <w:lvlText w:val="%3)"/>
      <w:lvlJc w:val="left"/>
      <w:pPr>
        <w:ind w:left="2160" w:hanging="360"/>
      </w:pPr>
    </w:lvl>
    <w:lvl w:ilvl="3">
      <w:start w:val="2"/>
      <w:numFmt w:val="lowerLetter"/>
      <w:lvlText w:val="%4)"/>
      <w:lvlJc w:val="left"/>
      <w:pPr>
        <w:ind w:left="2880" w:hanging="360"/>
      </w:pPr>
    </w:lvl>
    <w:lvl w:ilvl="4">
      <w:start w:val="2"/>
      <w:numFmt w:val="lowerLetter"/>
      <w:lvlText w:val="%5)"/>
      <w:lvlJc w:val="left"/>
      <w:pPr>
        <w:ind w:left="3600" w:hanging="360"/>
      </w:pPr>
    </w:lvl>
    <w:lvl w:ilvl="5">
      <w:start w:val="2"/>
      <w:numFmt w:val="lowerLetter"/>
      <w:lvlText w:val="%6)"/>
      <w:lvlJc w:val="left"/>
      <w:pPr>
        <w:ind w:left="4320" w:hanging="360"/>
      </w:pPr>
    </w:lvl>
    <w:lvl w:ilvl="6">
      <w:start w:val="2"/>
      <w:numFmt w:val="lowerLetter"/>
      <w:lvlText w:val="%7)"/>
      <w:lvlJc w:val="left"/>
      <w:pPr>
        <w:ind w:left="5040" w:hanging="360"/>
      </w:pPr>
    </w:lvl>
    <w:lvl w:ilvl="7">
      <w:start w:val="2"/>
      <w:numFmt w:val="lowerLetter"/>
      <w:lvlText w:val="%8)"/>
      <w:lvlJc w:val="left"/>
      <w:pPr>
        <w:ind w:left="5760" w:hanging="360"/>
      </w:pPr>
    </w:lvl>
    <w:lvl w:ilvl="8">
      <w:start w:val="2"/>
      <w:numFmt w:val="lowerLetter"/>
      <w:lvlText w:val="%9)"/>
      <w:lvlJc w:val="left"/>
      <w:pPr>
        <w:ind w:left="6480" w:hanging="360"/>
      </w:pPr>
    </w:lvl>
  </w:abstractNum>
  <w:abstractNum w:abstractNumId="99723">
    <w:nsid w:val="00A99723"/>
    <w:multiLevelType w:val="multilevel"/>
    <w:lvl w:ilvl="0">
      <w:start w:val="3"/>
      <w:numFmt w:val="lowerLetter"/>
      <w:lvlText w:val="%1)"/>
      <w:lvlJc w:val="left"/>
      <w:pPr>
        <w:ind w:left="720" w:hanging="360"/>
      </w:pPr>
    </w:lvl>
    <w:lvl w:ilvl="1">
      <w:start w:val="3"/>
      <w:numFmt w:val="lowerLetter"/>
      <w:lvlText w:val="%2)"/>
      <w:lvlJc w:val="left"/>
      <w:pPr>
        <w:ind w:left="1440" w:hanging="360"/>
      </w:pPr>
    </w:lvl>
    <w:lvl w:ilvl="2">
      <w:start w:val="3"/>
      <w:numFmt w:val="lowerLetter"/>
      <w:lvlText w:val="%3)"/>
      <w:lvlJc w:val="left"/>
      <w:pPr>
        <w:ind w:left="2160" w:hanging="360"/>
      </w:pPr>
    </w:lvl>
    <w:lvl w:ilvl="3">
      <w:start w:val="3"/>
      <w:numFmt w:val="lowerLetter"/>
      <w:lvlText w:val="%4)"/>
      <w:lvlJc w:val="left"/>
      <w:pPr>
        <w:ind w:left="2880" w:hanging="360"/>
      </w:pPr>
    </w:lvl>
    <w:lvl w:ilvl="4">
      <w:start w:val="3"/>
      <w:numFmt w:val="lowerLetter"/>
      <w:lvlText w:val="%5)"/>
      <w:lvlJc w:val="left"/>
      <w:pPr>
        <w:ind w:left="3600" w:hanging="360"/>
      </w:pPr>
    </w:lvl>
    <w:lvl w:ilvl="5">
      <w:start w:val="3"/>
      <w:numFmt w:val="lowerLetter"/>
      <w:lvlText w:val="%6)"/>
      <w:lvlJc w:val="left"/>
      <w:pPr>
        <w:ind w:left="4320" w:hanging="360"/>
      </w:pPr>
    </w:lvl>
    <w:lvl w:ilvl="6">
      <w:start w:val="3"/>
      <w:numFmt w:val="lowerLetter"/>
      <w:lvlText w:val="%7)"/>
      <w:lvlJc w:val="left"/>
      <w:pPr>
        <w:ind w:left="5040" w:hanging="360"/>
      </w:pPr>
    </w:lvl>
    <w:lvl w:ilvl="7">
      <w:start w:val="3"/>
      <w:numFmt w:val="lowerLetter"/>
      <w:lvlText w:val="%8)"/>
      <w:lvlJc w:val="left"/>
      <w:pPr>
        <w:ind w:left="5760" w:hanging="360"/>
      </w:pPr>
    </w:lvl>
    <w:lvl w:ilvl="8">
      <w:start w:val="3"/>
      <w:numFmt w:val="lowerLetter"/>
      <w:lvlText w:val="%9)"/>
      <w:lvlJc w:val="left"/>
      <w:pPr>
        <w:ind w:left="6480" w:hanging="36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1"/>
  </w:num>
  <w:num w:numId="1004">
    <w:abstractNumId w:val="997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722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1006">
    <w:abstractNumId w:val="99723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1007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2026-02-22T18:44:07Z</dcterms:created>
  <dcterms:modified xsi:type="dcterms:W3CDTF">2026-02-22T18:44:07Z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